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FC7" w:rsidRDefault="00033FC7" w:rsidP="00033FC7">
      <w:pPr>
        <w:jc w:val="both"/>
        <w:rPr>
          <w:rFonts w:eastAsia="Times New Roman" w:cs="Times New Roman"/>
          <w:szCs w:val="24"/>
        </w:rPr>
      </w:pPr>
      <w:r>
        <w:rPr>
          <w:rFonts w:eastAsia="Times New Roman" w:cs="Times New Roman"/>
          <w:szCs w:val="24"/>
        </w:rPr>
        <w:t>Name:</w:t>
      </w:r>
    </w:p>
    <w:p w:rsidR="00033FC7" w:rsidRDefault="00033FC7" w:rsidP="00033FC7">
      <w:pPr>
        <w:jc w:val="both"/>
        <w:rPr>
          <w:rFonts w:eastAsia="Times New Roman" w:cs="Times New Roman"/>
          <w:szCs w:val="24"/>
        </w:rPr>
      </w:pPr>
      <w:r>
        <w:rPr>
          <w:rFonts w:eastAsia="Times New Roman" w:cs="Times New Roman"/>
          <w:szCs w:val="24"/>
        </w:rPr>
        <w:t>Tutor:</w:t>
      </w:r>
    </w:p>
    <w:p w:rsidR="00033FC7" w:rsidRDefault="00033FC7" w:rsidP="00033FC7">
      <w:pPr>
        <w:jc w:val="both"/>
        <w:rPr>
          <w:rFonts w:eastAsia="Times New Roman" w:cs="Times New Roman"/>
          <w:szCs w:val="24"/>
        </w:rPr>
      </w:pPr>
      <w:r>
        <w:rPr>
          <w:rFonts w:eastAsia="Times New Roman" w:cs="Times New Roman"/>
          <w:szCs w:val="24"/>
        </w:rPr>
        <w:t>Course name:</w:t>
      </w:r>
    </w:p>
    <w:p w:rsidR="00033FC7" w:rsidRDefault="00033FC7" w:rsidP="00033FC7">
      <w:pPr>
        <w:jc w:val="both"/>
        <w:rPr>
          <w:rFonts w:eastAsia="Times New Roman" w:cs="Times New Roman"/>
          <w:szCs w:val="24"/>
        </w:rPr>
      </w:pPr>
      <w:r>
        <w:rPr>
          <w:rFonts w:eastAsia="Times New Roman" w:cs="Times New Roman"/>
          <w:szCs w:val="24"/>
        </w:rPr>
        <w:t>Date:</w:t>
      </w:r>
    </w:p>
    <w:p w:rsidR="00033FC7" w:rsidRPr="00033FC7" w:rsidRDefault="00033FC7" w:rsidP="00033FC7">
      <w:pPr>
        <w:jc w:val="center"/>
        <w:rPr>
          <w:rFonts w:eastAsia="Times New Roman" w:cs="Times New Roman"/>
          <w:szCs w:val="24"/>
        </w:rPr>
      </w:pPr>
      <w:r>
        <w:rPr>
          <w:rFonts w:eastAsia="Times New Roman" w:cs="Times New Roman"/>
          <w:szCs w:val="24"/>
        </w:rPr>
        <w:t>INCOME TAX</w:t>
      </w:r>
    </w:p>
    <w:p w:rsidR="00033FC7" w:rsidRPr="00033FC7" w:rsidRDefault="00033FC7" w:rsidP="00033FC7">
      <w:pPr>
        <w:ind w:firstLine="720"/>
        <w:jc w:val="both"/>
        <w:rPr>
          <w:rFonts w:eastAsia="Times New Roman" w:cs="Times New Roman"/>
          <w:szCs w:val="24"/>
        </w:rPr>
      </w:pPr>
      <w:r w:rsidRPr="00033FC7">
        <w:rPr>
          <w:rFonts w:eastAsia="Times New Roman" w:cs="Times New Roman"/>
          <w:szCs w:val="24"/>
        </w:rPr>
        <w:t>Income tax is a type of charge imposed on entities or individuals (taxpayers), and it varies with their profits or income. In business, jurisdiction refers to income tax of the companies as corporate tax or company tax. In partnership, there is no tax imposed on them, preferably, the partners usually are taxed according to their share of the items. Tax is computed as</w:t>
      </w:r>
      <w:proofErr w:type="gramStart"/>
      <w:r w:rsidRPr="00033FC7">
        <w:rPr>
          <w:rFonts w:eastAsia="Times New Roman" w:cs="Times New Roman"/>
          <w:szCs w:val="24"/>
        </w:rPr>
        <w:t>;  product</w:t>
      </w:r>
      <w:proofErr w:type="gramEnd"/>
      <w:r w:rsidRPr="00033FC7">
        <w:rPr>
          <w:rFonts w:eastAsia="Times New Roman" w:cs="Times New Roman"/>
          <w:szCs w:val="24"/>
        </w:rPr>
        <w:t xml:space="preserve"> of taxable income times tax rate. The tax rate has a direct relationship with taxable income. In this paper, I will write about taxable income in Canada. Income tax in Canada comprises of the majority of annual revenues of the Canada government. </w:t>
      </w:r>
    </w:p>
    <w:p w:rsidR="00033FC7" w:rsidRPr="00033FC7" w:rsidRDefault="00033FC7" w:rsidP="00033FC7">
      <w:pPr>
        <w:ind w:firstLine="720"/>
        <w:jc w:val="both"/>
        <w:rPr>
          <w:rFonts w:eastAsia="Times New Roman" w:cs="Times New Roman"/>
          <w:szCs w:val="24"/>
        </w:rPr>
      </w:pPr>
      <w:r w:rsidRPr="00033FC7">
        <w:rPr>
          <w:rFonts w:eastAsia="Times New Roman" w:cs="Times New Roman"/>
          <w:szCs w:val="24"/>
        </w:rPr>
        <w:t xml:space="preserve">The Canada taxation system is very similar to the system in America. The two counties have identical economic systems and are located close to each other. They also have extensive ties in trade and comprise of legal systems which are founded on the Common law of Britain. However, they contain some differences. First, the tax rates vary in both countries; the tax rates in Canada are larger than the tax rates in the United States. In Canada, the tax revenue is up to 38.4 percent of the Gross Domestic product while in the United States, it is up to 28.2 percent. </w:t>
      </w:r>
    </w:p>
    <w:p w:rsidR="00033FC7" w:rsidRPr="00033FC7" w:rsidRDefault="00033FC7" w:rsidP="00033FC7">
      <w:pPr>
        <w:ind w:firstLine="720"/>
        <w:jc w:val="both"/>
        <w:rPr>
          <w:rFonts w:eastAsia="Times New Roman" w:cs="Times New Roman"/>
          <w:szCs w:val="24"/>
        </w:rPr>
      </w:pPr>
      <w:r w:rsidRPr="00033FC7">
        <w:rPr>
          <w:rFonts w:eastAsia="Times New Roman" w:cs="Times New Roman"/>
          <w:szCs w:val="24"/>
        </w:rPr>
        <w:t xml:space="preserve">Income tax in the two countries varies in computation in that, in the United States, income tax range brackets range from 10 percent to 35 percent for citizens. In Canada, the range lies between 15 percent and 29 percent. However, in both countries, taxes are collected by the federal government. Additionally, Canada's income tax is biased on the high-income earners. Therefore, it makes Canada's income rate in tax is high on average. The calculations of income </w:t>
      </w:r>
      <w:r w:rsidRPr="00033FC7">
        <w:rPr>
          <w:rFonts w:eastAsia="Times New Roman" w:cs="Times New Roman"/>
          <w:szCs w:val="24"/>
        </w:rPr>
        <w:lastRenderedPageBreak/>
        <w:t>tax in Canada involve factors such as the personal tax amount, the Canada employment amount and EI premiums.</w:t>
      </w:r>
    </w:p>
    <w:p w:rsidR="00033FC7" w:rsidRPr="00033FC7" w:rsidRDefault="00033FC7" w:rsidP="00033FC7">
      <w:pPr>
        <w:ind w:firstLine="720"/>
        <w:jc w:val="both"/>
        <w:rPr>
          <w:rFonts w:eastAsia="Times New Roman" w:cs="Times New Roman"/>
          <w:szCs w:val="24"/>
        </w:rPr>
      </w:pPr>
      <w:r w:rsidRPr="00033FC7">
        <w:rPr>
          <w:rFonts w:eastAsia="Times New Roman" w:cs="Times New Roman"/>
          <w:szCs w:val="24"/>
        </w:rPr>
        <w:t>A taxpayer must report her or his total income annually. In Canada, there are certain deductions allowed while determining the final salary of an individual such as professional and union dues, business investment losses and child care expenses. A credit tax is given to deductions such as charitable donations to encourage generosity and more giving. Additionally, a mortgage interest it is not a tax-deductible expense. Interest is only deductible if and only if the money was used to generate an income and also if it meets the criteria of the Canada Revenue Agency.</w:t>
      </w:r>
    </w:p>
    <w:p w:rsidR="00033FC7" w:rsidRPr="00033FC7" w:rsidRDefault="00033FC7" w:rsidP="00033FC7">
      <w:pPr>
        <w:ind w:firstLine="720"/>
        <w:jc w:val="both"/>
        <w:rPr>
          <w:rFonts w:eastAsia="Times New Roman" w:cs="Times New Roman"/>
          <w:szCs w:val="24"/>
        </w:rPr>
      </w:pPr>
      <w:r w:rsidRPr="00033FC7">
        <w:rPr>
          <w:rFonts w:eastAsia="Times New Roman" w:cs="Times New Roman"/>
          <w:szCs w:val="24"/>
        </w:rPr>
        <w:t>However, Canada is comprised of a mix of provincial Value Added Tax and a federal one. The provincial tax includes of sales tax and is charged at the rate of 8 percent while the federal tax comprises of tax on goods and services which is usually charged at the rate of 5 percent. Typically, there is a tax filing deadline in every country. In Canada, the period is on 30 April for individual tax returns with no extension on the deadline. On the other hand, on the self-employed individuals, the tax returns are supposed to be filled by 15 June.</w:t>
      </w:r>
    </w:p>
    <w:p w:rsidR="00033FC7" w:rsidRPr="00033FC7" w:rsidRDefault="00033FC7" w:rsidP="00033FC7">
      <w:pPr>
        <w:ind w:firstLine="720"/>
        <w:jc w:val="both"/>
        <w:rPr>
          <w:rFonts w:eastAsia="Times New Roman" w:cs="Times New Roman"/>
          <w:szCs w:val="24"/>
        </w:rPr>
      </w:pPr>
      <w:r w:rsidRPr="00033FC7">
        <w:rPr>
          <w:rFonts w:eastAsia="Times New Roman" w:cs="Times New Roman"/>
          <w:szCs w:val="24"/>
        </w:rPr>
        <w:t xml:space="preserve">In conclusion, the agreement on taxable collection enables the different government to administer taxes on collection agency and single administration. The Canadian federal taxes on income, both corporate and personal are imposed to citizens according to the provisions under the Income tax. The tax system in Canada is a regime of self-assessment. </w:t>
      </w:r>
    </w:p>
    <w:p w:rsidR="00033FC7" w:rsidRPr="00033FC7" w:rsidRDefault="00033FC7" w:rsidP="00033FC7">
      <w:pPr>
        <w:jc w:val="both"/>
        <w:rPr>
          <w:rFonts w:eastAsia="Times New Roman" w:cs="Times New Roman"/>
          <w:szCs w:val="24"/>
        </w:rPr>
      </w:pPr>
    </w:p>
    <w:p w:rsidR="00033FC7" w:rsidRPr="00033FC7" w:rsidRDefault="00033FC7" w:rsidP="00033FC7">
      <w:pPr>
        <w:jc w:val="both"/>
        <w:rPr>
          <w:rFonts w:eastAsia="Times New Roman" w:cs="Times New Roman"/>
          <w:szCs w:val="24"/>
        </w:rPr>
      </w:pPr>
    </w:p>
    <w:p w:rsidR="00033FC7" w:rsidRPr="00033FC7" w:rsidRDefault="00033FC7" w:rsidP="00033FC7">
      <w:pPr>
        <w:jc w:val="both"/>
        <w:rPr>
          <w:rFonts w:eastAsia="Times New Roman" w:cs="Times New Roman"/>
          <w:szCs w:val="24"/>
        </w:rPr>
      </w:pPr>
    </w:p>
    <w:p w:rsidR="00033FC7" w:rsidRPr="00033FC7" w:rsidRDefault="00033FC7" w:rsidP="00033FC7">
      <w:pPr>
        <w:jc w:val="both"/>
        <w:rPr>
          <w:rFonts w:eastAsia="Times New Roman" w:cs="Times New Roman"/>
          <w:szCs w:val="24"/>
        </w:rPr>
      </w:pPr>
    </w:p>
    <w:p w:rsidR="00033FC7" w:rsidRPr="00033FC7" w:rsidRDefault="00033FC7" w:rsidP="00033FC7">
      <w:pPr>
        <w:jc w:val="center"/>
        <w:rPr>
          <w:rFonts w:eastAsia="Times New Roman" w:cs="Times New Roman"/>
          <w:b/>
          <w:szCs w:val="24"/>
        </w:rPr>
      </w:pPr>
      <w:r w:rsidRPr="00033FC7">
        <w:rPr>
          <w:rFonts w:eastAsia="Times New Roman" w:cs="Times New Roman"/>
          <w:b/>
          <w:szCs w:val="24"/>
        </w:rPr>
        <w:lastRenderedPageBreak/>
        <w:t>Works cited</w:t>
      </w:r>
    </w:p>
    <w:p w:rsidR="00033FC7" w:rsidRPr="00033FC7" w:rsidRDefault="00033FC7" w:rsidP="00033FC7">
      <w:pPr>
        <w:ind w:left="720" w:hanging="720"/>
        <w:jc w:val="both"/>
        <w:rPr>
          <w:rFonts w:eastAsia="Times New Roman" w:cs="Times New Roman"/>
          <w:szCs w:val="24"/>
        </w:rPr>
      </w:pPr>
      <w:proofErr w:type="spellStart"/>
      <w:proofErr w:type="gramStart"/>
      <w:r w:rsidRPr="00033FC7">
        <w:rPr>
          <w:rFonts w:eastAsia="Times New Roman" w:cs="Times New Roman"/>
          <w:szCs w:val="24"/>
        </w:rPr>
        <w:t>Berges</w:t>
      </w:r>
      <w:proofErr w:type="spellEnd"/>
      <w:r w:rsidRPr="00033FC7">
        <w:rPr>
          <w:rFonts w:eastAsia="Times New Roman" w:cs="Times New Roman"/>
          <w:szCs w:val="24"/>
        </w:rPr>
        <w:t xml:space="preserve">, Angel, John McConnell, and Gary G. </w:t>
      </w:r>
      <w:proofErr w:type="spellStart"/>
      <w:r w:rsidRPr="00033FC7">
        <w:rPr>
          <w:rFonts w:eastAsia="Times New Roman" w:cs="Times New Roman"/>
          <w:szCs w:val="24"/>
        </w:rPr>
        <w:t>Schlarbaum</w:t>
      </w:r>
      <w:proofErr w:type="spellEnd"/>
      <w:r w:rsidRPr="00033FC7">
        <w:rPr>
          <w:rFonts w:eastAsia="Times New Roman" w:cs="Times New Roman"/>
          <w:szCs w:val="24"/>
        </w:rPr>
        <w:t>.</w:t>
      </w:r>
      <w:proofErr w:type="gramEnd"/>
      <w:r w:rsidRPr="00033FC7">
        <w:rPr>
          <w:rFonts w:eastAsia="Times New Roman" w:cs="Times New Roman"/>
          <w:szCs w:val="24"/>
        </w:rPr>
        <w:t xml:space="preserve"> </w:t>
      </w:r>
      <w:proofErr w:type="gramStart"/>
      <w:r w:rsidRPr="00033FC7">
        <w:rPr>
          <w:rFonts w:eastAsia="Times New Roman" w:cs="Times New Roman"/>
          <w:szCs w:val="24"/>
        </w:rPr>
        <w:t>"The turn</w:t>
      </w:r>
      <w:r w:rsidRPr="00033FC7">
        <w:rPr>
          <w:rFonts w:ascii="Cambria Math" w:eastAsia="Times New Roman" w:hAnsi="Cambria Math" w:cs="Cambria Math"/>
          <w:szCs w:val="24"/>
        </w:rPr>
        <w:t>‐</w:t>
      </w:r>
      <w:r w:rsidRPr="00033FC7">
        <w:rPr>
          <w:rFonts w:eastAsia="Times New Roman" w:cs="Times New Roman"/>
          <w:szCs w:val="24"/>
        </w:rPr>
        <w:t>of</w:t>
      </w:r>
      <w:r w:rsidRPr="00033FC7">
        <w:rPr>
          <w:rFonts w:ascii="Cambria Math" w:eastAsia="Times New Roman" w:hAnsi="Cambria Math" w:cs="Cambria Math"/>
          <w:szCs w:val="24"/>
        </w:rPr>
        <w:t>‐</w:t>
      </w:r>
      <w:r w:rsidRPr="00033FC7">
        <w:rPr>
          <w:rFonts w:eastAsia="Times New Roman" w:cs="Times New Roman"/>
          <w:szCs w:val="24"/>
        </w:rPr>
        <w:t>the</w:t>
      </w:r>
      <w:r w:rsidRPr="00033FC7">
        <w:rPr>
          <w:rFonts w:ascii="Cambria Math" w:eastAsia="Times New Roman" w:hAnsi="Cambria Math" w:cs="Cambria Math"/>
          <w:szCs w:val="24"/>
        </w:rPr>
        <w:t>‐</w:t>
      </w:r>
      <w:r w:rsidRPr="00033FC7">
        <w:rPr>
          <w:rFonts w:eastAsia="Times New Roman" w:cs="Times New Roman"/>
          <w:szCs w:val="24"/>
        </w:rPr>
        <w:t>year in Canada."</w:t>
      </w:r>
      <w:proofErr w:type="gramEnd"/>
      <w:r w:rsidRPr="00033FC7">
        <w:rPr>
          <w:rFonts w:eastAsia="Times New Roman" w:cs="Times New Roman"/>
          <w:szCs w:val="24"/>
        </w:rPr>
        <w:t xml:space="preserve"> </w:t>
      </w:r>
      <w:r w:rsidRPr="00033FC7">
        <w:rPr>
          <w:rFonts w:eastAsia="Times New Roman" w:cs="Times New Roman"/>
          <w:i/>
          <w:iCs/>
          <w:szCs w:val="24"/>
        </w:rPr>
        <w:t>The Journal of Finance</w:t>
      </w:r>
      <w:r w:rsidRPr="00033FC7">
        <w:rPr>
          <w:rFonts w:eastAsia="Times New Roman" w:cs="Times New Roman"/>
          <w:szCs w:val="24"/>
        </w:rPr>
        <w:t xml:space="preserve"> 39.1 (1984): 185-192.</w:t>
      </w:r>
    </w:p>
    <w:p w:rsidR="00033FC7" w:rsidRPr="00033FC7" w:rsidRDefault="00033FC7" w:rsidP="00033FC7">
      <w:pPr>
        <w:ind w:left="720" w:hanging="720"/>
        <w:jc w:val="both"/>
        <w:rPr>
          <w:rFonts w:eastAsia="Times New Roman" w:cs="Times New Roman"/>
          <w:szCs w:val="24"/>
        </w:rPr>
      </w:pPr>
      <w:proofErr w:type="spellStart"/>
      <w:r w:rsidRPr="00033FC7">
        <w:rPr>
          <w:rFonts w:eastAsia="Times New Roman" w:cs="Times New Roman"/>
          <w:szCs w:val="24"/>
        </w:rPr>
        <w:t>Boadway</w:t>
      </w:r>
      <w:proofErr w:type="spellEnd"/>
      <w:r w:rsidRPr="00033FC7">
        <w:rPr>
          <w:rFonts w:eastAsia="Times New Roman" w:cs="Times New Roman"/>
          <w:szCs w:val="24"/>
        </w:rPr>
        <w:t xml:space="preserve">, Robin W., Neil Bruce, and Jack M. </w:t>
      </w:r>
      <w:proofErr w:type="spellStart"/>
      <w:r w:rsidRPr="00033FC7">
        <w:rPr>
          <w:rFonts w:eastAsia="Times New Roman" w:cs="Times New Roman"/>
          <w:szCs w:val="24"/>
        </w:rPr>
        <w:t>Mintz</w:t>
      </w:r>
      <w:proofErr w:type="spellEnd"/>
      <w:r w:rsidRPr="00033FC7">
        <w:rPr>
          <w:rFonts w:eastAsia="Times New Roman" w:cs="Times New Roman"/>
          <w:szCs w:val="24"/>
        </w:rPr>
        <w:t xml:space="preserve">. </w:t>
      </w:r>
      <w:r w:rsidRPr="00033FC7">
        <w:rPr>
          <w:rFonts w:eastAsia="Times New Roman" w:cs="Times New Roman"/>
          <w:i/>
          <w:iCs/>
          <w:szCs w:val="24"/>
        </w:rPr>
        <w:t>Taxes on capital income in Canada: analysis and policy</w:t>
      </w:r>
      <w:r w:rsidRPr="00033FC7">
        <w:rPr>
          <w:rFonts w:eastAsia="Times New Roman" w:cs="Times New Roman"/>
          <w:szCs w:val="24"/>
        </w:rPr>
        <w:t xml:space="preserve">. </w:t>
      </w:r>
      <w:proofErr w:type="gramStart"/>
      <w:r w:rsidRPr="00033FC7">
        <w:rPr>
          <w:rFonts w:eastAsia="Times New Roman" w:cs="Times New Roman"/>
          <w:szCs w:val="24"/>
        </w:rPr>
        <w:t>No. 80.</w:t>
      </w:r>
      <w:proofErr w:type="gramEnd"/>
      <w:r w:rsidRPr="00033FC7">
        <w:rPr>
          <w:rFonts w:eastAsia="Times New Roman" w:cs="Times New Roman"/>
          <w:szCs w:val="24"/>
        </w:rPr>
        <w:t xml:space="preserve"> Canadian Tax Foundation= Association </w:t>
      </w:r>
      <w:proofErr w:type="spellStart"/>
      <w:r w:rsidRPr="00033FC7">
        <w:rPr>
          <w:rFonts w:eastAsia="Times New Roman" w:cs="Times New Roman"/>
          <w:szCs w:val="24"/>
        </w:rPr>
        <w:t>canadienne</w:t>
      </w:r>
      <w:proofErr w:type="spellEnd"/>
      <w:r w:rsidRPr="00033FC7">
        <w:rPr>
          <w:rFonts w:eastAsia="Times New Roman" w:cs="Times New Roman"/>
          <w:szCs w:val="24"/>
        </w:rPr>
        <w:t xml:space="preserve"> </w:t>
      </w:r>
      <w:proofErr w:type="spellStart"/>
      <w:r w:rsidRPr="00033FC7">
        <w:rPr>
          <w:rFonts w:eastAsia="Times New Roman" w:cs="Times New Roman"/>
          <w:szCs w:val="24"/>
        </w:rPr>
        <w:t>d'études</w:t>
      </w:r>
      <w:proofErr w:type="spellEnd"/>
      <w:r w:rsidRPr="00033FC7">
        <w:rPr>
          <w:rFonts w:eastAsia="Times New Roman" w:cs="Times New Roman"/>
          <w:szCs w:val="24"/>
        </w:rPr>
        <w:t xml:space="preserve"> </w:t>
      </w:r>
      <w:proofErr w:type="spellStart"/>
      <w:r w:rsidRPr="00033FC7">
        <w:rPr>
          <w:rFonts w:eastAsia="Times New Roman" w:cs="Times New Roman"/>
          <w:szCs w:val="24"/>
        </w:rPr>
        <w:t>fiscales</w:t>
      </w:r>
      <w:proofErr w:type="spellEnd"/>
      <w:r w:rsidRPr="00033FC7">
        <w:rPr>
          <w:rFonts w:eastAsia="Times New Roman" w:cs="Times New Roman"/>
          <w:szCs w:val="24"/>
        </w:rPr>
        <w:t>, 1987.</w:t>
      </w:r>
    </w:p>
    <w:p w:rsidR="00033FC7" w:rsidRPr="00033FC7" w:rsidRDefault="00033FC7" w:rsidP="00033FC7">
      <w:pPr>
        <w:ind w:left="720" w:hanging="720"/>
        <w:jc w:val="both"/>
        <w:rPr>
          <w:rFonts w:eastAsia="Times New Roman" w:cs="Times New Roman"/>
          <w:szCs w:val="24"/>
        </w:rPr>
      </w:pPr>
      <w:r w:rsidRPr="00033FC7">
        <w:rPr>
          <w:rFonts w:eastAsia="Times New Roman" w:cs="Times New Roman"/>
          <w:szCs w:val="24"/>
        </w:rPr>
        <w:t xml:space="preserve">Ross, Nancy A., et al. "Relation between income inequality and mortality in Canada and in the United States: cross sectional assessment using census data and vital statistics." </w:t>
      </w:r>
      <w:proofErr w:type="spellStart"/>
      <w:r w:rsidRPr="00033FC7">
        <w:rPr>
          <w:rFonts w:eastAsia="Times New Roman" w:cs="Times New Roman"/>
          <w:i/>
          <w:iCs/>
          <w:szCs w:val="24"/>
        </w:rPr>
        <w:t>Bmj</w:t>
      </w:r>
      <w:proofErr w:type="spellEnd"/>
      <w:r w:rsidRPr="00033FC7">
        <w:rPr>
          <w:rFonts w:eastAsia="Times New Roman" w:cs="Times New Roman"/>
          <w:szCs w:val="24"/>
        </w:rPr>
        <w:t xml:space="preserve"> 320.7239 (2000): 898-902.</w:t>
      </w:r>
    </w:p>
    <w:p w:rsidR="00033FC7" w:rsidRPr="00033FC7" w:rsidRDefault="00033FC7" w:rsidP="00033FC7">
      <w:pPr>
        <w:ind w:left="720" w:hanging="720"/>
        <w:jc w:val="both"/>
        <w:rPr>
          <w:rFonts w:eastAsia="Times New Roman" w:cs="Times New Roman"/>
          <w:szCs w:val="24"/>
        </w:rPr>
      </w:pPr>
      <w:proofErr w:type="spellStart"/>
      <w:r w:rsidRPr="00033FC7">
        <w:rPr>
          <w:rFonts w:eastAsia="Times New Roman" w:cs="Times New Roman"/>
          <w:szCs w:val="24"/>
        </w:rPr>
        <w:t>Schuetze</w:t>
      </w:r>
      <w:proofErr w:type="spellEnd"/>
      <w:r w:rsidRPr="00033FC7">
        <w:rPr>
          <w:rFonts w:eastAsia="Times New Roman" w:cs="Times New Roman"/>
          <w:szCs w:val="24"/>
        </w:rPr>
        <w:t>, Herb J. "Taxes, economic con</w:t>
      </w:r>
      <w:bookmarkStart w:id="0" w:name="_GoBack"/>
      <w:bookmarkEnd w:id="0"/>
      <w:r w:rsidRPr="00033FC7">
        <w:rPr>
          <w:rFonts w:eastAsia="Times New Roman" w:cs="Times New Roman"/>
          <w:szCs w:val="24"/>
        </w:rPr>
        <w:t xml:space="preserve">ditions and recent trends in male self-employment: a Canada–US comparison." </w:t>
      </w:r>
      <w:r w:rsidRPr="00033FC7">
        <w:rPr>
          <w:rFonts w:eastAsia="Times New Roman" w:cs="Times New Roman"/>
          <w:i/>
          <w:iCs/>
          <w:szCs w:val="24"/>
        </w:rPr>
        <w:t>Labour Economics</w:t>
      </w:r>
      <w:r w:rsidRPr="00033FC7">
        <w:rPr>
          <w:rFonts w:eastAsia="Times New Roman" w:cs="Times New Roman"/>
          <w:szCs w:val="24"/>
        </w:rPr>
        <w:t xml:space="preserve"> 7.5 (2000): 507-544.</w:t>
      </w:r>
    </w:p>
    <w:p w:rsidR="00033FC7" w:rsidRPr="00033FC7" w:rsidRDefault="00033FC7" w:rsidP="00033FC7">
      <w:pPr>
        <w:ind w:left="720" w:hanging="720"/>
        <w:jc w:val="both"/>
        <w:rPr>
          <w:rFonts w:eastAsia="Times New Roman" w:cs="Times New Roman"/>
          <w:szCs w:val="24"/>
        </w:rPr>
      </w:pPr>
      <w:proofErr w:type="spellStart"/>
      <w:r w:rsidRPr="00033FC7">
        <w:rPr>
          <w:rFonts w:eastAsia="Times New Roman" w:cs="Times New Roman"/>
          <w:szCs w:val="24"/>
        </w:rPr>
        <w:t>Vaillancourt</w:t>
      </w:r>
      <w:proofErr w:type="spellEnd"/>
      <w:r w:rsidRPr="00033FC7">
        <w:rPr>
          <w:rFonts w:eastAsia="Times New Roman" w:cs="Times New Roman"/>
          <w:szCs w:val="24"/>
        </w:rPr>
        <w:t xml:space="preserve">, François. </w:t>
      </w:r>
      <w:r w:rsidRPr="00033FC7">
        <w:rPr>
          <w:rFonts w:eastAsia="Times New Roman" w:cs="Times New Roman"/>
          <w:i/>
          <w:iCs/>
          <w:szCs w:val="24"/>
        </w:rPr>
        <w:t>The administrative and compliance costs of the personal income tax and payroll tax system in Canada, 1986</w:t>
      </w:r>
      <w:r w:rsidRPr="00033FC7">
        <w:rPr>
          <w:rFonts w:eastAsia="Times New Roman" w:cs="Times New Roman"/>
          <w:szCs w:val="24"/>
        </w:rPr>
        <w:t xml:space="preserve">. </w:t>
      </w:r>
      <w:proofErr w:type="gramStart"/>
      <w:r w:rsidRPr="00033FC7">
        <w:rPr>
          <w:rFonts w:eastAsia="Times New Roman" w:cs="Times New Roman"/>
          <w:szCs w:val="24"/>
        </w:rPr>
        <w:t>No. 86.</w:t>
      </w:r>
      <w:proofErr w:type="gramEnd"/>
      <w:r w:rsidRPr="00033FC7">
        <w:rPr>
          <w:rFonts w:eastAsia="Times New Roman" w:cs="Times New Roman"/>
          <w:szCs w:val="24"/>
        </w:rPr>
        <w:t xml:space="preserve"> </w:t>
      </w:r>
      <w:proofErr w:type="gramStart"/>
      <w:r w:rsidRPr="00033FC7">
        <w:rPr>
          <w:rFonts w:eastAsia="Times New Roman" w:cs="Times New Roman"/>
          <w:szCs w:val="24"/>
        </w:rPr>
        <w:t>Canadian Tax Foundation, 1989.</w:t>
      </w:r>
      <w:proofErr w:type="gramEnd"/>
    </w:p>
    <w:p w:rsidR="00B522E7" w:rsidRPr="00033FC7" w:rsidRDefault="00B522E7" w:rsidP="00033FC7">
      <w:pPr>
        <w:ind w:left="720" w:hanging="720"/>
        <w:jc w:val="both"/>
        <w:rPr>
          <w:rFonts w:cs="Times New Roman"/>
          <w:szCs w:val="24"/>
        </w:rPr>
      </w:pPr>
    </w:p>
    <w:sectPr w:rsidR="00B522E7" w:rsidRPr="00033FC7" w:rsidSect="0040542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726" w:rsidRDefault="00310726" w:rsidP="00033FC7">
      <w:pPr>
        <w:spacing w:line="240" w:lineRule="auto"/>
      </w:pPr>
      <w:r>
        <w:separator/>
      </w:r>
    </w:p>
  </w:endnote>
  <w:endnote w:type="continuationSeparator" w:id="0">
    <w:p w:rsidR="00310726" w:rsidRDefault="00310726" w:rsidP="00033F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726" w:rsidRDefault="00310726" w:rsidP="00033FC7">
      <w:pPr>
        <w:spacing w:line="240" w:lineRule="auto"/>
      </w:pPr>
      <w:r>
        <w:separator/>
      </w:r>
    </w:p>
  </w:footnote>
  <w:footnote w:type="continuationSeparator" w:id="0">
    <w:p w:rsidR="00310726" w:rsidRDefault="00310726" w:rsidP="00033FC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4498950"/>
      <w:docPartObj>
        <w:docPartGallery w:val="Page Numbers (Top of Page)"/>
        <w:docPartUnique/>
      </w:docPartObj>
    </w:sdtPr>
    <w:sdtEndPr>
      <w:rPr>
        <w:noProof/>
      </w:rPr>
    </w:sdtEndPr>
    <w:sdtContent>
      <w:p w:rsidR="00033FC7" w:rsidRDefault="00033FC7">
        <w:pPr>
          <w:pStyle w:val="Header"/>
          <w:jc w:val="right"/>
        </w:pPr>
        <w:r>
          <w:t xml:space="preserve">Surname </w:t>
        </w:r>
        <w:r w:rsidR="00405424">
          <w:fldChar w:fldCharType="begin"/>
        </w:r>
        <w:r>
          <w:instrText xml:space="preserve"> PAGE   \* MERGEFORMAT </w:instrText>
        </w:r>
        <w:r w:rsidR="00405424">
          <w:fldChar w:fldCharType="separate"/>
        </w:r>
        <w:r w:rsidR="00CB14AB">
          <w:rPr>
            <w:noProof/>
          </w:rPr>
          <w:t>3</w:t>
        </w:r>
        <w:r w:rsidR="00405424">
          <w:rPr>
            <w:noProof/>
          </w:rPr>
          <w:fldChar w:fldCharType="end"/>
        </w:r>
      </w:p>
    </w:sdtContent>
  </w:sdt>
  <w:p w:rsidR="00033FC7" w:rsidRDefault="00033F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33FC7"/>
    <w:rsid w:val="00033FC7"/>
    <w:rsid w:val="002B5CCD"/>
    <w:rsid w:val="00310726"/>
    <w:rsid w:val="00387F17"/>
    <w:rsid w:val="00405424"/>
    <w:rsid w:val="00B522E7"/>
    <w:rsid w:val="00CB14A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033FC7"/>
    <w:pPr>
      <w:tabs>
        <w:tab w:val="center" w:pos="4680"/>
        <w:tab w:val="right" w:pos="9360"/>
      </w:tabs>
      <w:spacing w:line="240" w:lineRule="auto"/>
    </w:pPr>
  </w:style>
  <w:style w:type="character" w:customStyle="1" w:styleId="HeaderChar">
    <w:name w:val="Header Char"/>
    <w:basedOn w:val="DefaultParagraphFont"/>
    <w:link w:val="Header"/>
    <w:uiPriority w:val="99"/>
    <w:rsid w:val="00033FC7"/>
    <w:rPr>
      <w:rFonts w:ascii="Times New Roman" w:hAnsi="Times New Roman"/>
      <w:sz w:val="24"/>
    </w:rPr>
  </w:style>
  <w:style w:type="paragraph" w:styleId="Footer">
    <w:name w:val="footer"/>
    <w:basedOn w:val="Normal"/>
    <w:link w:val="FooterChar"/>
    <w:uiPriority w:val="99"/>
    <w:unhideWhenUsed/>
    <w:rsid w:val="00033FC7"/>
    <w:pPr>
      <w:tabs>
        <w:tab w:val="center" w:pos="4680"/>
        <w:tab w:val="right" w:pos="9360"/>
      </w:tabs>
      <w:spacing w:line="240" w:lineRule="auto"/>
    </w:pPr>
  </w:style>
  <w:style w:type="character" w:customStyle="1" w:styleId="FooterChar">
    <w:name w:val="Footer Char"/>
    <w:basedOn w:val="DefaultParagraphFont"/>
    <w:link w:val="Footer"/>
    <w:uiPriority w:val="99"/>
    <w:rsid w:val="00033FC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033FC7"/>
    <w:pPr>
      <w:tabs>
        <w:tab w:val="center" w:pos="4680"/>
        <w:tab w:val="right" w:pos="9360"/>
      </w:tabs>
      <w:spacing w:line="240" w:lineRule="auto"/>
    </w:pPr>
  </w:style>
  <w:style w:type="character" w:customStyle="1" w:styleId="HeaderChar">
    <w:name w:val="Header Char"/>
    <w:basedOn w:val="DefaultParagraphFont"/>
    <w:link w:val="Header"/>
    <w:uiPriority w:val="99"/>
    <w:rsid w:val="00033FC7"/>
    <w:rPr>
      <w:rFonts w:ascii="Times New Roman" w:hAnsi="Times New Roman"/>
      <w:sz w:val="24"/>
    </w:rPr>
  </w:style>
  <w:style w:type="paragraph" w:styleId="Footer">
    <w:name w:val="footer"/>
    <w:basedOn w:val="Normal"/>
    <w:link w:val="FooterChar"/>
    <w:uiPriority w:val="99"/>
    <w:unhideWhenUsed/>
    <w:rsid w:val="00033FC7"/>
    <w:pPr>
      <w:tabs>
        <w:tab w:val="center" w:pos="4680"/>
        <w:tab w:val="right" w:pos="9360"/>
      </w:tabs>
      <w:spacing w:line="240" w:lineRule="auto"/>
    </w:pPr>
  </w:style>
  <w:style w:type="character" w:customStyle="1" w:styleId="FooterChar">
    <w:name w:val="Footer Char"/>
    <w:basedOn w:val="DefaultParagraphFont"/>
    <w:link w:val="Footer"/>
    <w:uiPriority w:val="99"/>
    <w:rsid w:val="00033FC7"/>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20009062">
      <w:bodyDiv w:val="1"/>
      <w:marLeft w:val="0"/>
      <w:marRight w:val="0"/>
      <w:marTop w:val="0"/>
      <w:marBottom w:val="0"/>
      <w:divBdr>
        <w:top w:val="none" w:sz="0" w:space="0" w:color="auto"/>
        <w:left w:val="none" w:sz="0" w:space="0" w:color="auto"/>
        <w:bottom w:val="none" w:sz="0" w:space="0" w:color="auto"/>
        <w:right w:val="none" w:sz="0" w:space="0" w:color="auto"/>
      </w:divBdr>
      <w:divsChild>
        <w:div w:id="1550915712">
          <w:marLeft w:val="0"/>
          <w:marRight w:val="0"/>
          <w:marTop w:val="0"/>
          <w:marBottom w:val="0"/>
          <w:divBdr>
            <w:top w:val="none" w:sz="0" w:space="0" w:color="auto"/>
            <w:left w:val="none" w:sz="0" w:space="0" w:color="auto"/>
            <w:bottom w:val="none" w:sz="0" w:space="0" w:color="auto"/>
            <w:right w:val="none" w:sz="0" w:space="0" w:color="auto"/>
          </w:divBdr>
        </w:div>
      </w:divsChild>
    </w:div>
    <w:div w:id="414783004">
      <w:bodyDiv w:val="1"/>
      <w:marLeft w:val="0"/>
      <w:marRight w:val="0"/>
      <w:marTop w:val="0"/>
      <w:marBottom w:val="0"/>
      <w:divBdr>
        <w:top w:val="none" w:sz="0" w:space="0" w:color="auto"/>
        <w:left w:val="none" w:sz="0" w:space="0" w:color="auto"/>
        <w:bottom w:val="none" w:sz="0" w:space="0" w:color="auto"/>
        <w:right w:val="none" w:sz="0" w:space="0" w:color="auto"/>
      </w:divBdr>
      <w:divsChild>
        <w:div w:id="863440974">
          <w:marLeft w:val="0"/>
          <w:marRight w:val="0"/>
          <w:marTop w:val="0"/>
          <w:marBottom w:val="0"/>
          <w:divBdr>
            <w:top w:val="none" w:sz="0" w:space="0" w:color="auto"/>
            <w:left w:val="none" w:sz="0" w:space="0" w:color="auto"/>
            <w:bottom w:val="none" w:sz="0" w:space="0" w:color="auto"/>
            <w:right w:val="none" w:sz="0" w:space="0" w:color="auto"/>
          </w:divBdr>
        </w:div>
      </w:divsChild>
    </w:div>
    <w:div w:id="1152864751">
      <w:bodyDiv w:val="1"/>
      <w:marLeft w:val="0"/>
      <w:marRight w:val="0"/>
      <w:marTop w:val="0"/>
      <w:marBottom w:val="0"/>
      <w:divBdr>
        <w:top w:val="none" w:sz="0" w:space="0" w:color="auto"/>
        <w:left w:val="none" w:sz="0" w:space="0" w:color="auto"/>
        <w:bottom w:val="none" w:sz="0" w:space="0" w:color="auto"/>
        <w:right w:val="none" w:sz="0" w:space="0" w:color="auto"/>
      </w:divBdr>
      <w:divsChild>
        <w:div w:id="1427119301">
          <w:marLeft w:val="0"/>
          <w:marRight w:val="0"/>
          <w:marTop w:val="0"/>
          <w:marBottom w:val="0"/>
          <w:divBdr>
            <w:top w:val="none" w:sz="0" w:space="0" w:color="auto"/>
            <w:left w:val="none" w:sz="0" w:space="0" w:color="auto"/>
            <w:bottom w:val="none" w:sz="0" w:space="0" w:color="auto"/>
            <w:right w:val="none" w:sz="0" w:space="0" w:color="auto"/>
          </w:divBdr>
        </w:div>
      </w:divsChild>
    </w:div>
    <w:div w:id="1267925352">
      <w:bodyDiv w:val="1"/>
      <w:marLeft w:val="0"/>
      <w:marRight w:val="0"/>
      <w:marTop w:val="0"/>
      <w:marBottom w:val="0"/>
      <w:divBdr>
        <w:top w:val="none" w:sz="0" w:space="0" w:color="auto"/>
        <w:left w:val="none" w:sz="0" w:space="0" w:color="auto"/>
        <w:bottom w:val="none" w:sz="0" w:space="0" w:color="auto"/>
        <w:right w:val="none" w:sz="0" w:space="0" w:color="auto"/>
      </w:divBdr>
      <w:divsChild>
        <w:div w:id="847719512">
          <w:marLeft w:val="0"/>
          <w:marRight w:val="0"/>
          <w:marTop w:val="0"/>
          <w:marBottom w:val="0"/>
          <w:divBdr>
            <w:top w:val="none" w:sz="0" w:space="0" w:color="auto"/>
            <w:left w:val="none" w:sz="0" w:space="0" w:color="auto"/>
            <w:bottom w:val="none" w:sz="0" w:space="0" w:color="auto"/>
            <w:right w:val="none" w:sz="0" w:space="0" w:color="auto"/>
          </w:divBdr>
        </w:div>
      </w:divsChild>
    </w:div>
    <w:div w:id="1845708852">
      <w:bodyDiv w:val="1"/>
      <w:marLeft w:val="0"/>
      <w:marRight w:val="0"/>
      <w:marTop w:val="0"/>
      <w:marBottom w:val="0"/>
      <w:divBdr>
        <w:top w:val="none" w:sz="0" w:space="0" w:color="auto"/>
        <w:left w:val="none" w:sz="0" w:space="0" w:color="auto"/>
        <w:bottom w:val="none" w:sz="0" w:space="0" w:color="auto"/>
        <w:right w:val="none" w:sz="0" w:space="0" w:color="auto"/>
      </w:divBdr>
      <w:divsChild>
        <w:div w:id="347877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2017-12-06T11:09:00Z</dcterms:created>
  <dcterms:modified xsi:type="dcterms:W3CDTF">2017-12-06T11:09:00Z</dcterms:modified>
</cp:coreProperties>
</file>